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5" w:rsidRDefault="006A2EC4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                                        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A</w:t>
      </w:r>
    </w:p>
    <w:p w:rsidR="00D64C05" w:rsidRDefault="006A2EC4">
      <w:pPr>
        <w:jc w:val="center"/>
        <w:rPr>
          <w:rFonts w:ascii="方正小标宋简体" w:eastAsia="方正小标宋简体"/>
          <w:color w:val="FF0000"/>
          <w:spacing w:val="200"/>
          <w:w w:val="95"/>
          <w:sz w:val="96"/>
          <w:szCs w:val="96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 </w:t>
      </w:r>
      <w:r>
        <w:rPr>
          <w:rFonts w:ascii="方正小标宋简体" w:eastAsia="方正小标宋简体" w:cs="仿宋_GB2312" w:hint="eastAsia"/>
          <w:sz w:val="96"/>
          <w:szCs w:val="96"/>
          <w:lang w:val="zh-CN"/>
        </w:rPr>
        <w:t xml:space="preserve"> </w:t>
      </w:r>
      <w:r>
        <w:rPr>
          <w:rFonts w:ascii="方正小标宋简体" w:eastAsia="方正小标宋简体" w:hint="eastAsia"/>
          <w:color w:val="FF0000"/>
          <w:spacing w:val="200"/>
          <w:w w:val="95"/>
          <w:sz w:val="96"/>
          <w:szCs w:val="96"/>
        </w:rPr>
        <w:t>西安市公安局</w:t>
      </w:r>
    </w:p>
    <w:p w:rsidR="00D64C05" w:rsidRDefault="006A2EC4">
      <w:pPr>
        <w:autoSpaceDE w:val="0"/>
        <w:autoSpaceDN w:val="0"/>
        <w:adjustRightInd w:val="0"/>
        <w:spacing w:line="600" w:lineRule="exact"/>
        <w:ind w:right="-36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                                 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>
        <w:rPr>
          <w:rFonts w:ascii="楷体_GB2312" w:eastAsia="楷体_GB2312" w:cs="仿宋_GB2312" w:hint="eastAsia"/>
          <w:sz w:val="32"/>
          <w:szCs w:val="32"/>
          <w:lang w:val="zh-CN"/>
        </w:rPr>
        <w:t>马步理</w:t>
      </w:r>
    </w:p>
    <w:p w:rsidR="00D64C05" w:rsidRDefault="006A2EC4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pict>
          <v:line id="Line 2" o:spid="_x0000_s1026" style="position:absolute;left:0;text-align:left;z-index:251659264;mso-width-relative:page;mso-height-relative:page" from="2.2pt,1.95pt" to="453.65pt,1.95pt" strokecolor="red" strokeweight="4.5pt">
            <v:stroke linestyle="thickThin"/>
          </v:line>
        </w:pict>
      </w: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西公督办函〔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2023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38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D64C05" w:rsidRDefault="00D64C05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D64C05" w:rsidRDefault="006A2EC4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对市十七届人大三次会议</w:t>
      </w:r>
    </w:p>
    <w:p w:rsidR="00D64C05" w:rsidRDefault="006A2EC4">
      <w:pPr>
        <w:spacing w:line="56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第</w:t>
      </w:r>
      <w:r>
        <w:rPr>
          <w:rFonts w:ascii="方正小标宋简体" w:eastAsia="方正小标宋简体" w:hAnsi="宋体" w:cs="方正大标宋简体" w:hint="eastAsia"/>
          <w:sz w:val="44"/>
          <w:szCs w:val="44"/>
        </w:rPr>
        <w:t>0035</w:t>
      </w: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号建议的复函</w:t>
      </w:r>
    </w:p>
    <w:p w:rsidR="00D64C05" w:rsidRDefault="00D64C0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64C05" w:rsidRDefault="006A2EC4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郑强代表：</w:t>
      </w:r>
    </w:p>
    <w:p w:rsidR="00D64C05" w:rsidRDefault="006A2EC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您提出的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《关于加强老年代步车管理的建议》（第</w:t>
      </w:r>
      <w:r>
        <w:rPr>
          <w:rFonts w:ascii="仿宋_GB2312" w:eastAsia="仿宋_GB2312" w:hAnsi="宋体" w:hint="eastAsia"/>
          <w:sz w:val="32"/>
          <w:szCs w:val="32"/>
        </w:rPr>
        <w:t>0035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收悉，现答复如下：</w:t>
      </w:r>
    </w:p>
    <w:p w:rsidR="00D64C05" w:rsidRDefault="006A2EC4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一、关于“相关部门要加强对老年代步车的监督管理”的建议</w:t>
      </w:r>
    </w:p>
    <w:p w:rsidR="00D64C05" w:rsidRDefault="006A2EC4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国家工信、市场监管等部门对老年代步车此类产品没有明确的技术规范标准，故无法对老年代步车车辆属性进行界定（机动车或非机动车）。因此类车辆合法性尚不明确，公安交警支队无法进一步明确车辆通行规则和路权。</w:t>
      </w:r>
    </w:p>
    <w:p w:rsidR="00D64C05" w:rsidRDefault="006A2EC4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二、关于“对老年代步车进行牌照管理”的建议</w:t>
      </w:r>
    </w:p>
    <w:p w:rsidR="00D64C05" w:rsidRDefault="006A2EC4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因老年代步车的车辆属性无法界定，其既不符合国家电动自行车技术规范，也未纳入国家工信部门机动车产品名录，故目前</w:t>
      </w:r>
      <w:r>
        <w:rPr>
          <w:rFonts w:eastAsia="仿宋_GB2312" w:hint="eastAsia"/>
          <w:sz w:val="32"/>
          <w:szCs w:val="32"/>
        </w:rPr>
        <w:lastRenderedPageBreak/>
        <w:t>无法对老年代步车进行注册登记和牌照管理。</w:t>
      </w:r>
    </w:p>
    <w:p w:rsidR="00D64C05" w:rsidRDefault="006A2EC4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三、关于“加强日常交通检查力度，禁止老年代步车进行非法营运，严抓老年代步车强制保险、年审的办理审查”的建议</w:t>
      </w:r>
    </w:p>
    <w:p w:rsidR="00D64C05" w:rsidRDefault="006A2EC4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因老年代</w:t>
      </w:r>
      <w:r>
        <w:rPr>
          <w:rFonts w:eastAsia="仿宋_GB2312" w:hint="eastAsia"/>
          <w:sz w:val="32"/>
          <w:szCs w:val="32"/>
        </w:rPr>
        <w:t>步车车辆属性无法界定，且目前相关法律法规中无对此类车辆强制性保险和年审的相关规定，故处罚无法可依。对违规驾驶老年代步车上道路行驶的，公安交警支队</w:t>
      </w:r>
      <w:r>
        <w:rPr>
          <w:rFonts w:eastAsia="仿宋_GB2312" w:hint="eastAsia"/>
          <w:b/>
          <w:bCs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通过教育宣传，劝导驾驶人不要使用此类车辆，选择安全合法的交通出行方式；</w:t>
      </w:r>
      <w:r>
        <w:rPr>
          <w:rFonts w:eastAsia="仿宋_GB2312" w:hint="eastAsia"/>
          <w:b/>
          <w:bCs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联合市场监管部门，对违规销售老年代步车的个人和企业进行联合整治，规范市场销售源头。</w:t>
      </w:r>
    </w:p>
    <w:p w:rsidR="00D64C05" w:rsidRDefault="006A2EC4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四、关于“禁止在老年代步车上喷涂‘接送孩子专用’的字样从事接送孩子的营运工作”的建议</w:t>
      </w:r>
    </w:p>
    <w:p w:rsidR="00D64C05" w:rsidRDefault="006A2EC4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公安交警支队</w:t>
      </w:r>
      <w:r>
        <w:rPr>
          <w:rFonts w:ascii="仿宋_GB2312" w:eastAsia="仿宋_GB2312" w:hAnsi="仿宋"/>
          <w:sz w:val="32"/>
          <w:szCs w:val="32"/>
        </w:rPr>
        <w:t>成立</w:t>
      </w:r>
      <w:r>
        <w:rPr>
          <w:rFonts w:ascii="仿宋_GB2312" w:eastAsia="仿宋_GB2312" w:hAnsi="仿宋" w:hint="eastAsia"/>
          <w:sz w:val="32"/>
          <w:szCs w:val="32"/>
        </w:rPr>
        <w:t>有</w:t>
      </w:r>
      <w:r>
        <w:rPr>
          <w:rFonts w:ascii="仿宋_GB2312" w:eastAsia="仿宋_GB2312" w:hAnsi="仿宋"/>
          <w:sz w:val="32"/>
          <w:szCs w:val="32"/>
        </w:rPr>
        <w:t>专项整治小组，</w:t>
      </w:r>
      <w:r>
        <w:rPr>
          <w:rFonts w:ascii="仿宋_GB2312" w:eastAsia="仿宋_GB2312" w:hint="eastAsia"/>
          <w:bCs/>
          <w:sz w:val="32"/>
          <w:szCs w:val="32"/>
        </w:rPr>
        <w:t>采取警便结合</w:t>
      </w:r>
      <w:r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/>
          <w:sz w:val="32"/>
          <w:szCs w:val="32"/>
        </w:rPr>
        <w:t>整治手段，在全市全面展开两三轮及四轮电动车（老年代步车）整治工作，坚决遏制</w:t>
      </w:r>
      <w:r>
        <w:rPr>
          <w:rFonts w:ascii="仿宋_GB2312" w:eastAsia="仿宋_GB2312" w:hAnsi="仿宋"/>
          <w:sz w:val="32"/>
          <w:szCs w:val="32"/>
        </w:rPr>
        <w:t>两三轮非法载客及老年代步车非法上路行驶等交通违法行为。</w:t>
      </w:r>
      <w:r>
        <w:rPr>
          <w:rFonts w:ascii="仿宋_GB2312" w:eastAsia="仿宋_GB2312" w:hAnsi="仿宋" w:hint="eastAsia"/>
          <w:sz w:val="32"/>
          <w:szCs w:val="32"/>
        </w:rPr>
        <w:t>同时，</w:t>
      </w:r>
      <w:r>
        <w:rPr>
          <w:rFonts w:ascii="仿宋_GB2312" w:eastAsia="仿宋_GB2312" w:hAnsi="仿宋" w:hint="eastAsia"/>
          <w:bCs/>
          <w:sz w:val="32"/>
          <w:szCs w:val="32"/>
        </w:rPr>
        <w:t>会同城管、街办等部门，开展三轮“黑摩的”联合执法，净化</w:t>
      </w:r>
      <w:r>
        <w:rPr>
          <w:rFonts w:ascii="仿宋_GB2312" w:eastAsia="仿宋_GB2312" w:hAnsi="仿宋"/>
          <w:bCs/>
          <w:sz w:val="32"/>
          <w:szCs w:val="32"/>
        </w:rPr>
        <w:t>我市交通出行环境</w:t>
      </w:r>
      <w:r>
        <w:rPr>
          <w:rFonts w:ascii="仿宋_GB2312" w:eastAsia="仿宋_GB2312" w:hAnsi="仿宋" w:hint="eastAsia"/>
          <w:bCs/>
          <w:sz w:val="32"/>
          <w:szCs w:val="32"/>
        </w:rPr>
        <w:t>。公安交警支队于</w:t>
      </w:r>
      <w:r>
        <w:rPr>
          <w:rFonts w:ascii="仿宋_GB2312" w:eastAsia="仿宋_GB2312" w:hAnsi="仿宋" w:hint="eastAsia"/>
          <w:bCs/>
          <w:sz w:val="32"/>
          <w:szCs w:val="32"/>
        </w:rPr>
        <w:t>2020</w:t>
      </w:r>
      <w:r>
        <w:rPr>
          <w:rFonts w:ascii="仿宋_GB2312" w:eastAsia="仿宋_GB2312" w:hAnsi="仿宋" w:hint="eastAsia"/>
          <w:bCs/>
          <w:sz w:val="32"/>
          <w:szCs w:val="32"/>
        </w:rPr>
        <w:t>年牵头起草并报市人大审议通过了《西安市查处摩托车和非机动车非法载客若干规定》，为两三轮车非法营运整治、处罚提供法律依据。</w:t>
      </w:r>
    </w:p>
    <w:p w:rsidR="00D64C05" w:rsidRDefault="006A2EC4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与此同时，公安交警支队进一步采取了以下措施，不断强化</w:t>
      </w:r>
      <w:r>
        <w:rPr>
          <w:rFonts w:eastAsia="仿宋_GB2312" w:hint="eastAsia"/>
          <w:sz w:val="32"/>
          <w:szCs w:val="32"/>
        </w:rPr>
        <w:t>老年代步车以及其他</w:t>
      </w:r>
      <w:r>
        <w:rPr>
          <w:rFonts w:ascii="仿宋_GB2312" w:eastAsia="仿宋_GB2312" w:hAnsi="黑体" w:hint="eastAsia"/>
          <w:color w:val="000000" w:themeColor="text1"/>
          <w:kern w:val="0"/>
          <w:sz w:val="32"/>
          <w:szCs w:val="32"/>
        </w:rPr>
        <w:t>机动车和非机动车交通管理。</w:t>
      </w:r>
    </w:p>
    <w:p w:rsidR="00D64C05" w:rsidRDefault="006A2EC4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一是净化路面交通秩序，加强违法整治。</w:t>
      </w:r>
      <w:r>
        <w:rPr>
          <w:rFonts w:ascii="仿宋_GB2312" w:eastAsia="仿宋_GB2312" w:hAnsi="仿宋" w:hint="eastAsia"/>
          <w:sz w:val="32"/>
          <w:szCs w:val="32"/>
        </w:rPr>
        <w:t>近年来，公安交警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支队按照市委、市政府主要领导的指示精神，对标杭州、南宁等地先进管理模式，在继续深化巩固全市“车让人”文明交通创建行动的基础上，充分发挥公安主力军作用，以文明交通“人守规”活动为切入点和突破口，积极推进“车让人、人守规”和谐交通、文明交通创建工作。结合“一盔一带”、“创文”等重点工作，通过集中统一行动和日常严管相结合，进一步加强对老年代步车的整治力度。</w:t>
      </w:r>
      <w:r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年，共查扣老年代步车</w:t>
      </w:r>
      <w:r>
        <w:rPr>
          <w:rFonts w:ascii="仿宋_GB2312" w:eastAsia="仿宋_GB2312" w:hAnsi="仿宋" w:hint="eastAsia"/>
          <w:sz w:val="32"/>
          <w:szCs w:val="32"/>
        </w:rPr>
        <w:t>3200</w:t>
      </w:r>
      <w:r>
        <w:rPr>
          <w:rFonts w:ascii="仿宋_GB2312" w:eastAsia="仿宋_GB2312" w:hAnsi="仿宋" w:hint="eastAsia"/>
          <w:sz w:val="32"/>
          <w:szCs w:val="32"/>
        </w:rPr>
        <w:t>余辆，查处骑行类无证驾驶</w:t>
      </w:r>
      <w:r>
        <w:rPr>
          <w:rFonts w:ascii="仿宋_GB2312" w:eastAsia="仿宋_GB2312" w:hAnsi="仿宋" w:hint="eastAsia"/>
          <w:sz w:val="32"/>
          <w:szCs w:val="32"/>
        </w:rPr>
        <w:t>5112</w:t>
      </w:r>
      <w:r>
        <w:rPr>
          <w:rFonts w:ascii="仿宋_GB2312" w:eastAsia="仿宋_GB2312" w:hAnsi="仿宋" w:hint="eastAsia"/>
          <w:sz w:val="32"/>
          <w:szCs w:val="32"/>
        </w:rPr>
        <w:t>例。</w:t>
      </w:r>
    </w:p>
    <w:p w:rsidR="00D64C05" w:rsidRDefault="006A2EC4">
      <w:pPr>
        <w:autoSpaceDE w:val="0"/>
        <w:autoSpaceDN w:val="0"/>
        <w:adjustRightInd w:val="0"/>
        <w:spacing w:line="560" w:lineRule="exact"/>
        <w:ind w:firstLine="645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二是创新“马路学堂”，延伸管控触角。</w:t>
      </w:r>
      <w:r>
        <w:rPr>
          <w:rFonts w:ascii="仿宋_GB2312" w:eastAsia="仿宋_GB2312" w:hAnsi="仿宋" w:hint="eastAsia"/>
          <w:sz w:val="32"/>
          <w:szCs w:val="32"/>
        </w:rPr>
        <w:t>为全力实现交通事故预防“减量控大”工作目标，我支队紧盯行人非机动车事故多发路段、时段、点段，以及老年代步车较为集中的农村、郊县地区，在全国首推“马路学堂”工作模式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哪里事故多发，就把“学堂”搬到哪里，通过宣传教育阵地前移，构建以点带线、以线带面的交通安全管理格局，靶向提高群众交通安全意识，有效延伸了管理触角，扩大了覆盖范围，得到了群众的肯定和社会各界的一致好评。</w:t>
      </w:r>
    </w:p>
    <w:p w:rsidR="00D64C05" w:rsidRDefault="006A2EC4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kern w:val="0"/>
          <w:sz w:val="32"/>
          <w:szCs w:val="32"/>
        </w:rPr>
        <w:t>三是</w:t>
      </w:r>
      <w:r>
        <w:rPr>
          <w:rFonts w:ascii="楷体_GB2312" w:eastAsia="楷体_GB2312" w:hAnsi="仿宋" w:hint="eastAsia"/>
          <w:sz w:val="32"/>
          <w:szCs w:val="32"/>
        </w:rPr>
        <w:t>提升文明交通意识，筑牢宣传阵地。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公安交警支队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不断拓展宣传渠道，通过微博、微信、抖音等网络媒体，报纸、电视、广播等传统媒体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进行广泛的宣传，向广大群众揭露生产企业及销售商的虚假广告，希望老年消费者勿轻信老年代步车“不用挂牌照、不用考驾照”的虚假宣传，提高安全意识，自觉遵守交通法规，选择合法交通工具出行，做到不购买、不驾驶、不改装、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lastRenderedPageBreak/>
        <w:t>不乘坐老年代步车。积极协调残联、城管、交通等部门，做好宣传教育、思想转化工作，防止新的老年代步车参与客运。</w:t>
      </w:r>
    </w:p>
    <w:p w:rsidR="00D64C05" w:rsidRDefault="006A2EC4">
      <w:pPr>
        <w:spacing w:line="560" w:lineRule="exact"/>
        <w:ind w:firstLineChars="200" w:firstLine="640"/>
        <w:rPr>
          <w:rFonts w:ascii="楷体_GB2312" w:eastAsia="楷体_GB2312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kern w:val="0"/>
          <w:sz w:val="32"/>
          <w:szCs w:val="32"/>
        </w:rPr>
        <w:t>四是坚持共治共建共享，形成整治合力。</w:t>
      </w:r>
      <w:r>
        <w:rPr>
          <w:rFonts w:ascii="仿宋_GB2312" w:eastAsia="仿宋_GB2312" w:hAnsi="仿宋" w:hint="eastAsia"/>
          <w:sz w:val="32"/>
          <w:szCs w:val="32"/>
        </w:rPr>
        <w:t>公安交警支队发挥</w:t>
      </w:r>
      <w:r>
        <w:rPr>
          <w:rFonts w:ascii="仿宋_GB2312" w:eastAsia="仿宋_GB2312" w:hAnsi="仿宋" w:hint="eastAsia"/>
          <w:bCs/>
          <w:sz w:val="32"/>
          <w:szCs w:val="32"/>
        </w:rPr>
        <w:t>市、区（县）两级交安办牵头作用，协调市场监管、城管、交通运输等部门，打破公安交警“单打独斗”的管理模式，形成多部门共建共治，协调联动的管理格局</w:t>
      </w:r>
      <w:r>
        <w:rPr>
          <w:rFonts w:ascii="仿宋_GB2312" w:eastAsia="仿宋_GB2312" w:hAnsi="仿宋" w:hint="eastAsia"/>
          <w:bCs/>
          <w:sz w:val="32"/>
          <w:szCs w:val="32"/>
        </w:rPr>
        <w:t>。结合“七进”活动，持续开展文明交通宣讲活动，</w:t>
      </w:r>
      <w:r>
        <w:rPr>
          <w:rFonts w:ascii="仿宋_GB2312" w:eastAsia="仿宋_GB2312" w:hAnsi="仿宋" w:hint="eastAsia"/>
          <w:sz w:val="32"/>
        </w:rPr>
        <w:t>深入社区、小区、乡镇农村，</w:t>
      </w:r>
      <w:r>
        <w:rPr>
          <w:rFonts w:ascii="仿宋_GB2312" w:eastAsia="仿宋_GB2312" w:hAnsi="仿宋" w:hint="eastAsia"/>
          <w:bCs/>
          <w:sz w:val="32"/>
          <w:szCs w:val="32"/>
        </w:rPr>
        <w:t>从源头上不断提升群众文明交通意识。特别是采取学生监督家长的形式，促进学生和家长共同提升交通安全意识。</w:t>
      </w:r>
    </w:p>
    <w:p w:rsidR="00D64C05" w:rsidRDefault="006A2EC4">
      <w:pPr>
        <w:pStyle w:val="a6"/>
        <w:spacing w:beforeAutospacing="0" w:afterAutospacing="0" w:line="560" w:lineRule="exact"/>
        <w:ind w:firstLineChars="200" w:firstLine="640"/>
        <w:rPr>
          <w:rFonts w:ascii="楷体_GB2312" w:eastAsia="楷体_GB2312" w:hAnsi="仿宋" w:cs="华文仿宋"/>
          <w:sz w:val="32"/>
          <w:szCs w:val="32"/>
        </w:rPr>
      </w:pPr>
      <w:r>
        <w:rPr>
          <w:rFonts w:ascii="楷体_GB2312" w:eastAsia="楷体_GB2312" w:hAnsi="仿宋" w:cs="华文仿宋" w:hint="eastAsia"/>
          <w:sz w:val="32"/>
          <w:szCs w:val="32"/>
        </w:rPr>
        <w:t>五是推动法律法规完善，规范管理依据。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根据《中华人民共和国道路交通安全法》、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GB7258-2017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《机动车运行安全技术条件》、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GB/T21268-2014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《非公路用旅游观光车通用技术条件》的相关标准，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年，公安交警支队联合陕西中正机动车物证司法鉴定所对我市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种四轮低速电动车进行了鉴定。经鉴定，均属于“机动车”范畴，应按照机动车管理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规定进行管理。驾驶此类车辆驾驶人应取得驾驶资格，车辆必须购置交通强制保险和登记悬挂机动车号牌，我们在各项整治和日常勤务中都在针对此种车辆进行检查，对没有驾驶证的可以依法拘留，取得了一定成效。公安交警</w:t>
      </w:r>
      <w:r>
        <w:rPr>
          <w:rFonts w:ascii="仿宋_GB2312" w:eastAsia="仿宋_GB2312" w:hAnsi="仿宋" w:hint="eastAsia"/>
          <w:sz w:val="32"/>
          <w:szCs w:val="32"/>
        </w:rPr>
        <w:t>根据市人大立法工作计划的相关工作要求，遵循依法管理、依法处罚的基本原则，</w:t>
      </w:r>
      <w:r>
        <w:rPr>
          <w:rFonts w:ascii="仿宋_GB2312" w:eastAsia="仿宋_GB2312" w:hAnsi="仿宋" w:cs="华文仿宋" w:hint="eastAsia"/>
          <w:sz w:val="32"/>
          <w:szCs w:val="32"/>
        </w:rPr>
        <w:t>起草上报了《西安市电动自行车管理规定（草案）》，其中将明确低速四轮电动车（老年代步车）为机动车的属性，为日常执法处罚提供法律依据。</w:t>
      </w:r>
    </w:p>
    <w:p w:rsidR="00D64C05" w:rsidRDefault="006A2EC4">
      <w:pPr>
        <w:spacing w:line="560" w:lineRule="exact"/>
        <w:ind w:firstLine="6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下一步，</w:t>
      </w:r>
      <w:r>
        <w:rPr>
          <w:rFonts w:ascii="仿宋_GB2312" w:eastAsia="仿宋_GB2312" w:hAnsi="仿宋" w:hint="eastAsia"/>
          <w:sz w:val="32"/>
          <w:szCs w:val="32"/>
        </w:rPr>
        <w:t>公安交警支队将</w:t>
      </w:r>
      <w:r>
        <w:rPr>
          <w:rFonts w:ascii="仿宋_GB2312" w:eastAsia="仿宋_GB2312" w:hAnsi="仿宋" w:cs="华文仿宋" w:hint="eastAsia"/>
          <w:sz w:val="32"/>
          <w:szCs w:val="32"/>
        </w:rPr>
        <w:t>紧紧围绕“文明交通”、“一盔一带”、“减量控大”等重点工作，以更高的标准、更实的措施，不</w:t>
      </w:r>
      <w:r>
        <w:rPr>
          <w:rFonts w:ascii="仿宋_GB2312" w:eastAsia="仿宋_GB2312" w:hAnsi="仿宋" w:cs="华文仿宋" w:hint="eastAsia"/>
          <w:sz w:val="32"/>
          <w:szCs w:val="32"/>
        </w:rPr>
        <w:t>断提高交通秩序管理水平。</w:t>
      </w:r>
      <w:r>
        <w:rPr>
          <w:rFonts w:ascii="仿宋_GB2312" w:eastAsia="仿宋_GB2312" w:hAnsi="仿宋" w:cs="华文仿宋" w:hint="eastAsia"/>
          <w:b/>
          <w:sz w:val="32"/>
          <w:szCs w:val="32"/>
        </w:rPr>
        <w:t>一是</w:t>
      </w:r>
      <w:r>
        <w:rPr>
          <w:rFonts w:ascii="仿宋_GB2312" w:eastAsia="仿宋_GB2312" w:hAnsi="仿宋" w:cs="华文仿宋" w:hint="eastAsia"/>
          <w:sz w:val="32"/>
          <w:szCs w:val="32"/>
        </w:rPr>
        <w:t>以文明交通提升为目标，进一步强化老年代步车整治工作，有针对性的科学部署勤务，哪里“乱”，哪里事故多发，就把勤务部署到哪里，切实提高街面见警率管事率，形成严管严查的整治声势；</w:t>
      </w:r>
      <w:r>
        <w:rPr>
          <w:rFonts w:ascii="仿宋_GB2312" w:eastAsia="仿宋_GB2312" w:hAnsi="仿宋" w:cs="华文仿宋" w:hint="eastAsia"/>
          <w:b/>
          <w:sz w:val="32"/>
          <w:szCs w:val="32"/>
        </w:rPr>
        <w:t>二是</w:t>
      </w:r>
      <w:r>
        <w:rPr>
          <w:rFonts w:ascii="仿宋_GB2312" w:eastAsia="仿宋_GB2312" w:hAnsi="仿宋" w:cs="华文仿宋" w:hint="eastAsia"/>
          <w:sz w:val="32"/>
          <w:szCs w:val="32"/>
        </w:rPr>
        <w:t>持续开展文明交通宣传教育，一方面加强老年代步车驾驶员群体的教育宣传，一方面深入社区、学校、单位、企业、农村等细枝末节，深化源头文明交通宣传，引导群众自觉遵守交通安全法律法规，积极践行文明交通；</w:t>
      </w:r>
      <w:r>
        <w:rPr>
          <w:rFonts w:ascii="仿宋_GB2312" w:eastAsia="仿宋_GB2312" w:hAnsi="仿宋" w:cs="华文仿宋" w:hint="eastAsia"/>
          <w:b/>
          <w:sz w:val="32"/>
          <w:szCs w:val="32"/>
        </w:rPr>
        <w:t>三是</w:t>
      </w:r>
      <w:r>
        <w:rPr>
          <w:rFonts w:ascii="仿宋_GB2312" w:eastAsia="仿宋_GB2312" w:hAnsi="仿宋" w:cs="华文仿宋" w:hint="eastAsia"/>
          <w:sz w:val="32"/>
          <w:szCs w:val="32"/>
        </w:rPr>
        <w:t>持续推进《西安市电动自行车管理规定》立法计划，明确老年代步车车辆属性，和相关管理</w:t>
      </w:r>
      <w:bookmarkStart w:id="0" w:name="_GoBack"/>
      <w:bookmarkEnd w:id="0"/>
      <w:r>
        <w:rPr>
          <w:rFonts w:ascii="仿宋_GB2312" w:eastAsia="仿宋_GB2312" w:hAnsi="仿宋" w:cs="华文仿宋" w:hint="eastAsia"/>
          <w:sz w:val="32"/>
          <w:szCs w:val="32"/>
        </w:rPr>
        <w:t>规定，并配合省交警总队，全力推进陕西省电动自行车立法工作。</w:t>
      </w:r>
    </w:p>
    <w:p w:rsidR="00D64C05" w:rsidRDefault="00D64C05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 w:hAnsi="仿宋" w:cs="仿宋"/>
          <w:sz w:val="32"/>
          <w:szCs w:val="32"/>
        </w:rPr>
      </w:pPr>
    </w:p>
    <w:p w:rsidR="00D64C05" w:rsidRDefault="00D64C05">
      <w:pPr>
        <w:pStyle w:val="a3"/>
        <w:adjustRightInd w:val="0"/>
        <w:snapToGrid w:val="0"/>
        <w:spacing w:line="560" w:lineRule="exact"/>
        <w:ind w:firstLineChars="1350" w:firstLine="4320"/>
        <w:rPr>
          <w:rFonts w:ascii="仿宋" w:eastAsia="仿宋" w:hAnsi="仿宋" w:cs="仿宋"/>
          <w:sz w:val="32"/>
          <w:szCs w:val="32"/>
        </w:rPr>
      </w:pPr>
    </w:p>
    <w:p w:rsidR="00D64C05" w:rsidRDefault="00D64C05">
      <w:pPr>
        <w:pStyle w:val="a3"/>
        <w:adjustRightInd w:val="0"/>
        <w:snapToGrid w:val="0"/>
        <w:spacing w:line="560" w:lineRule="exact"/>
        <w:ind w:firstLineChars="1350" w:firstLine="4320"/>
        <w:rPr>
          <w:rFonts w:ascii="仿宋" w:eastAsia="仿宋" w:hAnsi="仿宋" w:cs="仿宋"/>
          <w:sz w:val="32"/>
          <w:szCs w:val="32"/>
        </w:rPr>
      </w:pPr>
    </w:p>
    <w:p w:rsidR="00D64C05" w:rsidRDefault="006A2EC4">
      <w:pPr>
        <w:pStyle w:val="a3"/>
        <w:adjustRightInd w:val="0"/>
        <w:snapToGrid w:val="0"/>
        <w:spacing w:line="560" w:lineRule="exact"/>
        <w:ind w:firstLineChars="1650" w:firstLine="52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西安市公安局</w:t>
      </w:r>
    </w:p>
    <w:p w:rsidR="00D64C05" w:rsidRDefault="006A2EC4">
      <w:pPr>
        <w:pStyle w:val="a3"/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2023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D64C05" w:rsidRDefault="00D64C05">
      <w:pPr>
        <w:pStyle w:val="a3"/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64C05" w:rsidRDefault="00D64C05">
      <w:pPr>
        <w:pStyle w:val="a3"/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</w:p>
    <w:sectPr w:rsidR="00D64C0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C4" w:rsidRDefault="006A2EC4">
      <w:r>
        <w:separator/>
      </w:r>
    </w:p>
  </w:endnote>
  <w:endnote w:type="continuationSeparator" w:id="0">
    <w:p w:rsidR="006A2EC4" w:rsidRDefault="006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22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64C05" w:rsidRDefault="006A2EC4">
        <w:pPr>
          <w:pStyle w:val="a4"/>
          <w:ind w:right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C3923" w:rsidRPr="000C3923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D64C05" w:rsidRDefault="00D64C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4811"/>
    </w:sdtPr>
    <w:sdtEndPr>
      <w:rPr>
        <w:rFonts w:asciiTheme="minorEastAsia" w:hAnsiTheme="minorEastAsia"/>
        <w:sz w:val="28"/>
        <w:szCs w:val="28"/>
      </w:rPr>
    </w:sdtEndPr>
    <w:sdtContent>
      <w:p w:rsidR="00D64C05" w:rsidRDefault="006A2EC4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C3923" w:rsidRPr="000C3923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D64C05" w:rsidRDefault="00D64C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C4" w:rsidRDefault="006A2EC4">
      <w:r>
        <w:separator/>
      </w:r>
    </w:p>
  </w:footnote>
  <w:footnote w:type="continuationSeparator" w:id="0">
    <w:p w:rsidR="006A2EC4" w:rsidRDefault="006A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OTRjOTcwYmEyNzQzYjRlN2EwZTUxN2FlYTBkYzIifQ=="/>
  </w:docVars>
  <w:rsids>
    <w:rsidRoot w:val="00D265AB"/>
    <w:rsid w:val="000C3923"/>
    <w:rsid w:val="000D0789"/>
    <w:rsid w:val="000E17C7"/>
    <w:rsid w:val="00102B4D"/>
    <w:rsid w:val="00112524"/>
    <w:rsid w:val="00120FBD"/>
    <w:rsid w:val="00122541"/>
    <w:rsid w:val="00124068"/>
    <w:rsid w:val="002B16EA"/>
    <w:rsid w:val="002B6466"/>
    <w:rsid w:val="00336B99"/>
    <w:rsid w:val="00391D62"/>
    <w:rsid w:val="00392CBA"/>
    <w:rsid w:val="0046242E"/>
    <w:rsid w:val="00477DCE"/>
    <w:rsid w:val="005041E0"/>
    <w:rsid w:val="005305FF"/>
    <w:rsid w:val="005C0268"/>
    <w:rsid w:val="005C5B51"/>
    <w:rsid w:val="00651DBF"/>
    <w:rsid w:val="006A2EC4"/>
    <w:rsid w:val="006B7B5E"/>
    <w:rsid w:val="006F7B18"/>
    <w:rsid w:val="00805F55"/>
    <w:rsid w:val="00826B95"/>
    <w:rsid w:val="0084068F"/>
    <w:rsid w:val="008446A1"/>
    <w:rsid w:val="009836F3"/>
    <w:rsid w:val="00A32BD5"/>
    <w:rsid w:val="00AA5AE6"/>
    <w:rsid w:val="00B60A78"/>
    <w:rsid w:val="00B62202"/>
    <w:rsid w:val="00B754B1"/>
    <w:rsid w:val="00B853AA"/>
    <w:rsid w:val="00C03E97"/>
    <w:rsid w:val="00C501AC"/>
    <w:rsid w:val="00C75CAC"/>
    <w:rsid w:val="00C93144"/>
    <w:rsid w:val="00CA6B6B"/>
    <w:rsid w:val="00CC1102"/>
    <w:rsid w:val="00CE7AEB"/>
    <w:rsid w:val="00D265AB"/>
    <w:rsid w:val="00D3052B"/>
    <w:rsid w:val="00D35C13"/>
    <w:rsid w:val="00D47E22"/>
    <w:rsid w:val="00D64C05"/>
    <w:rsid w:val="00D71FA4"/>
    <w:rsid w:val="00DB1AEE"/>
    <w:rsid w:val="00DD2C46"/>
    <w:rsid w:val="00DD31D5"/>
    <w:rsid w:val="00DD3EE6"/>
    <w:rsid w:val="00DE79AC"/>
    <w:rsid w:val="00E14A58"/>
    <w:rsid w:val="00E17755"/>
    <w:rsid w:val="00E33007"/>
    <w:rsid w:val="00E5701D"/>
    <w:rsid w:val="00E61E58"/>
    <w:rsid w:val="00EA02AE"/>
    <w:rsid w:val="00EA454B"/>
    <w:rsid w:val="00F10CF4"/>
    <w:rsid w:val="00F66A27"/>
    <w:rsid w:val="00F675E4"/>
    <w:rsid w:val="21912AB7"/>
    <w:rsid w:val="2A68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Times New Roman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36"/>
    </w:rPr>
  </w:style>
  <w:style w:type="character" w:customStyle="1" w:styleId="Char">
    <w:name w:val="纯文本 Char"/>
    <w:basedOn w:val="a0"/>
    <w:link w:val="a3"/>
    <w:rPr>
      <w:rFonts w:ascii="宋体" w:eastAsia="宋体" w:hAnsi="Times New Roman" w:cs="Courier New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李锴</dc:creator>
  <cp:lastModifiedBy>xb21cn</cp:lastModifiedBy>
  <cp:revision>6</cp:revision>
  <dcterms:created xsi:type="dcterms:W3CDTF">2023-01-23T03:23:00Z</dcterms:created>
  <dcterms:modified xsi:type="dcterms:W3CDTF">2023-07-24T08:36:00Z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251FCF7B5DD84CD5AEFA2F5B881A73F5_12</vt:lpwstr>
  </property>
</Properties>
</file>